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0FB66D55"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648D0349">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331A15A5" w:rsidR="008B52D7" w:rsidRDefault="00256210">
      <w:pPr>
        <w:spacing w:after="230"/>
        <w:ind w:left="910" w:right="0"/>
        <w:jc w:val="left"/>
      </w:pPr>
      <w:r>
        <w:rPr>
          <w:b/>
        </w:rPr>
        <w:t xml:space="preserve">Please submit proposals to: </w:t>
      </w:r>
      <w:proofErr w:type="spellStart"/>
      <w:r w:rsidR="00A07430">
        <w:rPr>
          <w:b/>
        </w:rPr>
        <w:t>Bouctouche</w:t>
      </w:r>
      <w:proofErr w:type="spellEnd"/>
      <w:r w:rsidR="00A07430">
        <w:rPr>
          <w:b/>
        </w:rPr>
        <w:t xml:space="preserve"> Enhancement Committee via Matt</w:t>
      </w:r>
      <w:r w:rsidR="00380AC5">
        <w:rPr>
          <w:b/>
        </w:rPr>
        <w:t>hew</w:t>
      </w:r>
      <w:r w:rsidR="00A07430">
        <w:rPr>
          <w:b/>
        </w:rPr>
        <w:t xml:space="preserve"> </w:t>
      </w:r>
      <w:proofErr w:type="spellStart"/>
      <w:r w:rsidR="00A07430">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4DD8552F" w:rsidR="008B52D7" w:rsidRDefault="00256210">
      <w:pPr>
        <w:numPr>
          <w:ilvl w:val="0"/>
          <w:numId w:val="8"/>
        </w:numPr>
        <w:spacing w:after="0" w:line="241" w:lineRule="auto"/>
        <w:ind w:right="53" w:hanging="360"/>
      </w:pPr>
      <w:r>
        <w:t>To pr</w:t>
      </w:r>
      <w:r w:rsidR="00380AC5">
        <w:t xml:space="preserve">ovide children of First Nations </w:t>
      </w:r>
      <w:r>
        <w:t>in New Brunswick with a welcoming school environment and a quality educational experience that is relevant and recognizes</w:t>
      </w:r>
      <w:r w:rsidR="00380AC5">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4131B9" w:rsidR="00F20A7D" w:rsidRDefault="00C8238F" w:rsidP="00C8238F">
      <w:pPr>
        <w:spacing w:after="0" w:line="259" w:lineRule="auto"/>
        <w:ind w:right="0"/>
        <w:jc w:val="center"/>
      </w:pPr>
      <w:r>
        <w:lastRenderedPageBreak/>
        <w:t xml:space="preserve">(Last </w:t>
      </w:r>
      <w:r w:rsidR="00A573FE">
        <w:t>Revised January 2016</w:t>
      </w:r>
      <w:r>
        <w:t>)</w:t>
      </w:r>
    </w:p>
    <w:p w14:paraId="76A90380" w14:textId="33F5BFE3"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007B6A13">
        <w:rPr>
          <w:rFonts w:ascii="Calibri" w:eastAsia="Calibri" w:hAnsi="Calibri" w:cs="Times New Roman"/>
          <w:b/>
          <w:color w:val="0F243E"/>
          <w:sz w:val="18"/>
          <w:szCs w:val="18"/>
        </w:rPr>
        <w:t>Bouctouche</w:t>
      </w:r>
      <w:proofErr w:type="spellEnd"/>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245BDDF8"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279F4653"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th</w:t>
            </w:r>
            <w:r w:rsidR="00B3371A">
              <w:rPr>
                <w:b/>
                <w:i/>
              </w:rPr>
              <w:t xml:space="preserve">e </w:t>
            </w:r>
            <w:r w:rsidR="007260EA">
              <w:rPr>
                <w:b/>
                <w:i/>
              </w:rPr>
              <w:t>S</w:t>
            </w:r>
            <w:r w:rsidR="007B6A13">
              <w:rPr>
                <w:b/>
                <w:i/>
              </w:rPr>
              <w:t>chool District and Bouctouche</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2492E28E" w:rsidR="008B52D7" w:rsidRDefault="00256210">
            <w:pPr>
              <w:spacing w:after="0" w:line="259" w:lineRule="auto"/>
              <w:ind w:left="0" w:right="0" w:firstLine="0"/>
              <w:jc w:val="left"/>
            </w:pPr>
            <w:r>
              <w:rPr>
                <w:b/>
              </w:rPr>
              <w:t>Describe</w:t>
            </w:r>
            <w:r w:rsidR="00380AC5">
              <w:rPr>
                <w:b/>
              </w:rPr>
              <w:t xml:space="preserve"> measurement of success for </w:t>
            </w:r>
            <w:r>
              <w:rPr>
                <w:b/>
              </w:rPr>
              <w:t xml:space="preserve">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bookmarkStart w:id="0" w:name="_GoBack"/>
            <w:bookmarkEnd w:id="0"/>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8"/>
      <w:footerReference w:type="even" r:id="rId9"/>
      <w:footerReference w:type="default" r:id="rId10"/>
      <w:footerReference w:type="first" r:id="rId11"/>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F681" w14:textId="77777777" w:rsidR="00560F80" w:rsidRDefault="00560F80">
      <w:pPr>
        <w:spacing w:after="0" w:line="240" w:lineRule="auto"/>
      </w:pPr>
      <w:r>
        <w:separator/>
      </w:r>
    </w:p>
  </w:endnote>
  <w:endnote w:type="continuationSeparator" w:id="0">
    <w:p w14:paraId="7A0A4068" w14:textId="77777777" w:rsidR="00560F80" w:rsidRDefault="0056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BA2F" w14:textId="77777777" w:rsidR="00560F80" w:rsidRDefault="00560F80">
      <w:pPr>
        <w:spacing w:after="0" w:line="240" w:lineRule="auto"/>
      </w:pPr>
      <w:r>
        <w:separator/>
      </w:r>
    </w:p>
  </w:footnote>
  <w:footnote w:type="continuationSeparator" w:id="0">
    <w:p w14:paraId="0458B12A" w14:textId="77777777" w:rsidR="00560F80" w:rsidRDefault="0056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1F3703"/>
    <w:rsid w:val="002149B4"/>
    <w:rsid w:val="00256210"/>
    <w:rsid w:val="00380AC5"/>
    <w:rsid w:val="004923F0"/>
    <w:rsid w:val="00560F80"/>
    <w:rsid w:val="007260EA"/>
    <w:rsid w:val="007B6A13"/>
    <w:rsid w:val="008502EF"/>
    <w:rsid w:val="008B52D7"/>
    <w:rsid w:val="008B7560"/>
    <w:rsid w:val="009A0419"/>
    <w:rsid w:val="009B0D45"/>
    <w:rsid w:val="009E4D85"/>
    <w:rsid w:val="00A07430"/>
    <w:rsid w:val="00A573FE"/>
    <w:rsid w:val="00AF2581"/>
    <w:rsid w:val="00B3371A"/>
    <w:rsid w:val="00BB6D89"/>
    <w:rsid w:val="00C8238F"/>
    <w:rsid w:val="00D44EDF"/>
    <w:rsid w:val="00D8421E"/>
    <w:rsid w:val="00E04E2C"/>
    <w:rsid w:val="00ED7FE2"/>
    <w:rsid w:val="00F20A7D"/>
    <w:rsid w:val="00F23CA2"/>
    <w:rsid w:val="00FD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772B32F3-42D7-4A8A-90B2-0ECC13E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2016-09-22T17:36:00Z</dcterms:created>
  <dcterms:modified xsi:type="dcterms:W3CDTF">2016-09-22T17:36:00Z</dcterms:modified>
</cp:coreProperties>
</file>